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004380"/>
        </w:tblBorders>
        <w:tblLook w:val="04A0" w:firstRow="1" w:lastRow="0" w:firstColumn="1" w:lastColumn="0" w:noHBand="0" w:noVBand="1"/>
      </w:tblPr>
      <w:tblGrid>
        <w:gridCol w:w="7713"/>
        <w:gridCol w:w="7713"/>
      </w:tblGrid>
      <w:tr w:rsidR="001B42D1" w:rsidTr="00493C8C">
        <w:tc>
          <w:tcPr>
            <w:tcW w:w="2500" w:type="pct"/>
            <w:tcBorders>
              <w:bottom w:val="nil"/>
            </w:tcBorders>
          </w:tcPr>
          <w:p w:rsidR="00493C8C" w:rsidRPr="006878FA" w:rsidRDefault="002D3F4B" w:rsidP="006876A8">
            <w:pPr>
              <w:pStyle w:val="Kop1"/>
            </w:pPr>
            <w:r>
              <w:t>Niet reanimeren beleid</w:t>
            </w:r>
          </w:p>
          <w:p w:rsidR="00493C8C" w:rsidRPr="006878FA" w:rsidRDefault="00493C8C" w:rsidP="006876A8"/>
          <w:p w:rsidR="00493C8C" w:rsidRPr="006878FA" w:rsidRDefault="002D3F4B" w:rsidP="006876A8">
            <w:pPr>
              <w:pStyle w:val="Kop2"/>
            </w:pPr>
            <w:r>
              <w:t>Er is een niet reanimeren beleid van toepassing tijdens een reanimatie setting. Onderstaand tref je de belangrijkste aandachtspunten rond deze wilsverklaring.</w:t>
            </w:r>
          </w:p>
          <w:p w:rsidR="00493C8C" w:rsidRPr="006878FA" w:rsidRDefault="00493C8C" w:rsidP="006876A8">
            <w:pPr>
              <w:rPr>
                <w:rFonts w:eastAsiaTheme="majorEastAsia"/>
              </w:rPr>
            </w:pPr>
          </w:p>
          <w:p w:rsidR="00493C8C" w:rsidRPr="006878FA" w:rsidRDefault="002D3F4B" w:rsidP="006876A8">
            <w:pPr>
              <w:pStyle w:val="Kop2"/>
            </w:pPr>
            <w:r>
              <w:t xml:space="preserve">Schriftelijke Verklaring / Penning / Tatoeage </w:t>
            </w:r>
          </w:p>
          <w:tbl>
            <w:tblPr>
              <w:tblStyle w:val="PolitieStijl2"/>
              <w:tblW w:w="0" w:type="auto"/>
              <w:tblBorders>
                <w:top w:val="single" w:sz="4" w:space="0" w:color="E4E4E4"/>
                <w:bottom w:val="single" w:sz="4" w:space="0" w:color="E4E4E4"/>
              </w:tblBorders>
              <w:tblCellMar>
                <w:top w:w="57" w:type="dxa"/>
                <w:left w:w="57" w:type="dxa"/>
                <w:bottom w:w="45" w:type="dxa"/>
                <w:right w:w="57" w:type="dxa"/>
              </w:tblCellMar>
              <w:tblLook w:val="0020" w:firstRow="1" w:lastRow="0" w:firstColumn="0" w:lastColumn="0" w:noHBand="0" w:noVBand="0"/>
            </w:tblPr>
            <w:tblGrid>
              <w:gridCol w:w="680"/>
              <w:gridCol w:w="6520"/>
            </w:tblGrid>
            <w:tr w:rsidR="001B42D1" w:rsidTr="001B42D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tcW w:w="680" w:type="dxa"/>
                </w:tcPr>
                <w:p w:rsidR="00493C8C" w:rsidRPr="006878FA" w:rsidRDefault="002D3F4B" w:rsidP="006876A8">
                  <w:pPr>
                    <w:jc w:val="center"/>
                    <w:rPr>
                      <w:b/>
                    </w:rPr>
                  </w:pPr>
                  <w:r w:rsidRPr="006878FA">
                    <w:rPr>
                      <w:b/>
                    </w:rPr>
                    <w:t>Stap</w:t>
                  </w:r>
                </w:p>
              </w:tc>
              <w:tc>
                <w:tcPr>
                  <w:tcW w:w="6520" w:type="dxa"/>
                </w:tcPr>
                <w:p w:rsidR="00493C8C" w:rsidRPr="006878FA" w:rsidRDefault="002D3F4B" w:rsidP="006876A8">
                  <w:pPr>
                    <w:rPr>
                      <w:b/>
                    </w:rPr>
                  </w:pPr>
                  <w:r w:rsidRPr="006878FA">
                    <w:rPr>
                      <w:b/>
                    </w:rPr>
                    <w:t>Handeling</w:t>
                  </w:r>
                </w:p>
              </w:tc>
            </w:tr>
            <w:tr w:rsidR="001B42D1" w:rsidTr="001B42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7"/>
              </w:trPr>
              <w:tc>
                <w:tcPr>
                  <w:tcW w:w="680" w:type="dxa"/>
                </w:tcPr>
                <w:p w:rsidR="00493C8C" w:rsidRPr="006878FA" w:rsidRDefault="002D3F4B" w:rsidP="006876A8">
                  <w:pPr>
                    <w:jc w:val="center"/>
                    <w:rPr>
                      <w:b/>
                    </w:rPr>
                  </w:pPr>
                  <w:r w:rsidRPr="006878FA">
                    <w:rPr>
                      <w:b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:rsidR="00493C8C" w:rsidRPr="006878FA" w:rsidRDefault="002D3F4B" w:rsidP="006876A8">
                  <w:r>
                    <w:t xml:space="preserve">De </w:t>
                  </w:r>
                  <w:r>
                    <w:t>patiënt heeft wel een “negatieve wilsverklaring” hiermee geeft hij/zij het beleid van reanimatie of andere levensverlengende behandeling</w:t>
                  </w:r>
                </w:p>
              </w:tc>
            </w:tr>
            <w:tr w:rsidR="001B42D1" w:rsidTr="001B42D1">
              <w:trPr>
                <w:trHeight w:val="227"/>
              </w:trPr>
              <w:tc>
                <w:tcPr>
                  <w:tcW w:w="680" w:type="dxa"/>
                </w:tcPr>
                <w:p w:rsidR="00493C8C" w:rsidRPr="006878FA" w:rsidRDefault="002D3F4B" w:rsidP="006876A8">
                  <w:pPr>
                    <w:jc w:val="center"/>
                    <w:rPr>
                      <w:b/>
                    </w:rPr>
                  </w:pPr>
                  <w:r w:rsidRPr="006878FA">
                    <w:rPr>
                      <w:b/>
                    </w:rPr>
                    <w:t>2</w:t>
                  </w:r>
                </w:p>
              </w:tc>
              <w:tc>
                <w:tcPr>
                  <w:tcW w:w="6520" w:type="dxa"/>
                </w:tcPr>
                <w:p w:rsidR="00493C8C" w:rsidRPr="006878FA" w:rsidRDefault="002D3F4B" w:rsidP="006876A8">
                  <w:r>
                    <w:t>Deze wens dient conform de wetgeving gerespecteerd te worden</w:t>
                  </w:r>
                </w:p>
              </w:tc>
            </w:tr>
            <w:tr w:rsidR="001B42D1" w:rsidTr="001B42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7"/>
              </w:trPr>
              <w:tc>
                <w:tcPr>
                  <w:tcW w:w="680" w:type="dxa"/>
                </w:tcPr>
                <w:p w:rsidR="00493C8C" w:rsidRPr="006878FA" w:rsidRDefault="002D3F4B" w:rsidP="006876A8">
                  <w:pPr>
                    <w:jc w:val="center"/>
                    <w:rPr>
                      <w:b/>
                    </w:rPr>
                  </w:pPr>
                  <w:r w:rsidRPr="006878FA">
                    <w:rPr>
                      <w:b/>
                    </w:rPr>
                    <w:t>3</w:t>
                  </w:r>
                </w:p>
              </w:tc>
              <w:tc>
                <w:tcPr>
                  <w:tcW w:w="6520" w:type="dxa"/>
                </w:tcPr>
                <w:p w:rsidR="00493C8C" w:rsidRPr="006878FA" w:rsidRDefault="002D3F4B" w:rsidP="006876A8">
                  <w:r>
                    <w:t xml:space="preserve">De algemene regel is van toepassing dat behandeling </w:t>
                  </w:r>
                  <w:r>
                    <w:t>niet mag plaatsvinden zonder toestemming</w:t>
                  </w:r>
                </w:p>
              </w:tc>
            </w:tr>
            <w:tr w:rsidR="001B42D1" w:rsidTr="001B42D1">
              <w:trPr>
                <w:trHeight w:val="227"/>
              </w:trPr>
              <w:tc>
                <w:tcPr>
                  <w:tcW w:w="680" w:type="dxa"/>
                </w:tcPr>
                <w:p w:rsidR="00493C8C" w:rsidRPr="006878FA" w:rsidRDefault="002D3F4B" w:rsidP="006876A8">
                  <w:pPr>
                    <w:jc w:val="center"/>
                    <w:rPr>
                      <w:b/>
                    </w:rPr>
                  </w:pPr>
                  <w:r w:rsidRPr="006878FA">
                    <w:rPr>
                      <w:b/>
                    </w:rPr>
                    <w:t>4</w:t>
                  </w:r>
                </w:p>
              </w:tc>
              <w:tc>
                <w:tcPr>
                  <w:tcW w:w="6520" w:type="dxa"/>
                </w:tcPr>
                <w:p w:rsidR="00493C8C" w:rsidRPr="006878FA" w:rsidRDefault="002D3F4B" w:rsidP="006876A8">
                  <w:r>
                    <w:t>Een arts kan in overleg met de vertegenwoordiger van de patiënt eventueel lijden zo adequaat mogelijk verlichten</w:t>
                  </w:r>
                </w:p>
              </w:tc>
            </w:tr>
          </w:tbl>
          <w:p w:rsidR="00493C8C" w:rsidRDefault="00493C8C" w:rsidP="006876A8"/>
          <w:p w:rsidR="00A915EA" w:rsidRPr="00A915EA" w:rsidRDefault="002D3F4B" w:rsidP="006876A8">
            <w:pPr>
              <w:rPr>
                <w:b/>
              </w:rPr>
            </w:pPr>
            <w:r>
              <w:rPr>
                <w:b/>
              </w:rPr>
              <w:t>Geen verklaring aanwezig en toch geen reanimatie inzet</w:t>
            </w:r>
          </w:p>
          <w:tbl>
            <w:tblPr>
              <w:tblStyle w:val="PolitieStijl2"/>
              <w:tblW w:w="0" w:type="auto"/>
              <w:tblBorders>
                <w:top w:val="single" w:sz="4" w:space="0" w:color="E4E4E4"/>
                <w:bottom w:val="single" w:sz="4" w:space="0" w:color="E4E4E4"/>
              </w:tblBorders>
              <w:tblCellMar>
                <w:top w:w="57" w:type="dxa"/>
                <w:left w:w="57" w:type="dxa"/>
                <w:bottom w:w="45" w:type="dxa"/>
                <w:right w:w="57" w:type="dxa"/>
              </w:tblCellMar>
              <w:tblLook w:val="0020" w:firstRow="1" w:lastRow="0" w:firstColumn="0" w:lastColumn="0" w:noHBand="0" w:noVBand="0"/>
            </w:tblPr>
            <w:tblGrid>
              <w:gridCol w:w="680"/>
              <w:gridCol w:w="6520"/>
            </w:tblGrid>
            <w:tr w:rsidR="001B42D1" w:rsidTr="001B42D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tcW w:w="680" w:type="dxa"/>
                </w:tcPr>
                <w:p w:rsidR="00A915EA" w:rsidRPr="006878FA" w:rsidRDefault="002D3F4B" w:rsidP="00A915EA">
                  <w:pPr>
                    <w:jc w:val="center"/>
                    <w:rPr>
                      <w:b/>
                    </w:rPr>
                  </w:pPr>
                  <w:r w:rsidRPr="006878FA">
                    <w:rPr>
                      <w:b/>
                    </w:rPr>
                    <w:t>Stap</w:t>
                  </w:r>
                </w:p>
              </w:tc>
              <w:tc>
                <w:tcPr>
                  <w:tcW w:w="6520" w:type="dxa"/>
                </w:tcPr>
                <w:p w:rsidR="00A915EA" w:rsidRPr="006878FA" w:rsidRDefault="002D3F4B" w:rsidP="00A915EA">
                  <w:pPr>
                    <w:rPr>
                      <w:b/>
                    </w:rPr>
                  </w:pPr>
                  <w:r w:rsidRPr="006878FA">
                    <w:rPr>
                      <w:b/>
                    </w:rPr>
                    <w:t>Handeling</w:t>
                  </w:r>
                </w:p>
              </w:tc>
            </w:tr>
            <w:tr w:rsidR="001B42D1" w:rsidTr="001B42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4"/>
              </w:trPr>
              <w:tc>
                <w:tcPr>
                  <w:tcW w:w="680" w:type="dxa"/>
                </w:tcPr>
                <w:p w:rsidR="00A915EA" w:rsidRPr="006878FA" w:rsidRDefault="002D3F4B" w:rsidP="00A915EA">
                  <w:pPr>
                    <w:jc w:val="center"/>
                    <w:rPr>
                      <w:b/>
                    </w:rPr>
                  </w:pPr>
                  <w:r w:rsidRPr="006878FA">
                    <w:rPr>
                      <w:b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:rsidR="00A915EA" w:rsidRPr="006878FA" w:rsidRDefault="002D3F4B" w:rsidP="00A915EA">
                  <w:r>
                    <w:t xml:space="preserve">De patiënt heeft geen </w:t>
                  </w:r>
                  <w:r>
                    <w:t>“negatieve wilsverklaring” echter beslist de wettelijk vertegenwoordiger dat er geen reanimatie meer gewenst is</w:t>
                  </w:r>
                </w:p>
              </w:tc>
            </w:tr>
            <w:tr w:rsidR="001B42D1" w:rsidTr="001B42D1">
              <w:trPr>
                <w:trHeight w:val="227"/>
              </w:trPr>
              <w:tc>
                <w:tcPr>
                  <w:tcW w:w="680" w:type="dxa"/>
                </w:tcPr>
                <w:p w:rsidR="00A915EA" w:rsidRPr="006878FA" w:rsidRDefault="002D3F4B" w:rsidP="00A915EA">
                  <w:pPr>
                    <w:jc w:val="center"/>
                    <w:rPr>
                      <w:b/>
                    </w:rPr>
                  </w:pPr>
                  <w:r w:rsidRPr="006878FA">
                    <w:rPr>
                      <w:b/>
                    </w:rPr>
                    <w:t>2</w:t>
                  </w:r>
                </w:p>
              </w:tc>
              <w:tc>
                <w:tcPr>
                  <w:tcW w:w="6520" w:type="dxa"/>
                </w:tcPr>
                <w:p w:rsidR="00A915EA" w:rsidRDefault="002D3F4B" w:rsidP="00A915EA">
                  <w:r>
                    <w:t>De verpleegkundig centralist dient het verzoek te toetsen of dit</w:t>
                  </w:r>
                </w:p>
                <w:p w:rsidR="00A915EA" w:rsidRDefault="002D3F4B" w:rsidP="00A915EA">
                  <w:pPr>
                    <w:pStyle w:val="Lijstalinea"/>
                    <w:numPr>
                      <w:ilvl w:val="0"/>
                      <w:numId w:val="1"/>
                    </w:numPr>
                  </w:pPr>
                  <w:r>
                    <w:t>Invoelbaar is</w:t>
                  </w:r>
                </w:p>
                <w:p w:rsidR="00A915EA" w:rsidRPr="00A915EA" w:rsidRDefault="002D3F4B" w:rsidP="00A915EA">
                  <w:pPr>
                    <w:pStyle w:val="Lijstalinea"/>
                    <w:numPr>
                      <w:ilvl w:val="0"/>
                      <w:numId w:val="1"/>
                    </w:numPr>
                  </w:pPr>
                  <w:r>
                    <w:t>Begrijpelijk is</w:t>
                  </w:r>
                </w:p>
              </w:tc>
            </w:tr>
            <w:tr w:rsidR="001B42D1" w:rsidTr="001B42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7"/>
              </w:trPr>
              <w:tc>
                <w:tcPr>
                  <w:tcW w:w="680" w:type="dxa"/>
                </w:tcPr>
                <w:p w:rsidR="00576B96" w:rsidRPr="006878FA" w:rsidRDefault="002D3F4B" w:rsidP="00A915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6520" w:type="dxa"/>
                </w:tcPr>
                <w:p w:rsidR="00576B96" w:rsidRDefault="002D3F4B" w:rsidP="00A915EA">
                  <w:r>
                    <w:t xml:space="preserve">Registreer de negatieve wilsverklaring </w:t>
                  </w:r>
                  <w:r>
                    <w:t>duidelijk in het gesprek (bandopname)</w:t>
                  </w:r>
                </w:p>
              </w:tc>
            </w:tr>
            <w:tr w:rsidR="001B42D1" w:rsidTr="001B42D1">
              <w:trPr>
                <w:trHeight w:val="603"/>
              </w:trPr>
              <w:tc>
                <w:tcPr>
                  <w:tcW w:w="680" w:type="dxa"/>
                </w:tcPr>
                <w:p w:rsidR="00A915EA" w:rsidRPr="006878FA" w:rsidRDefault="002D3F4B" w:rsidP="00A915EA">
                  <w:pPr>
                    <w:jc w:val="center"/>
                    <w:rPr>
                      <w:b/>
                    </w:rPr>
                  </w:pPr>
                  <w:r w:rsidRPr="006878FA">
                    <w:rPr>
                      <w:b/>
                    </w:rPr>
                    <w:t>3</w:t>
                  </w:r>
                </w:p>
              </w:tc>
              <w:tc>
                <w:tcPr>
                  <w:tcW w:w="6520" w:type="dxa"/>
                </w:tcPr>
                <w:p w:rsidR="00A915EA" w:rsidRPr="006878FA" w:rsidRDefault="002D3F4B" w:rsidP="00A915EA">
                  <w:r>
                    <w:t>Voldoet het verzoek aan deze criteria en is er geen twijfel dan wordt er geen reanimatie opgestart</w:t>
                  </w:r>
                </w:p>
              </w:tc>
            </w:tr>
            <w:tr w:rsidR="001B42D1" w:rsidTr="001B42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7"/>
              </w:trPr>
              <w:tc>
                <w:tcPr>
                  <w:tcW w:w="680" w:type="dxa"/>
                </w:tcPr>
                <w:p w:rsidR="00A915EA" w:rsidRPr="006878FA" w:rsidRDefault="002D3F4B" w:rsidP="00A915EA">
                  <w:pPr>
                    <w:jc w:val="center"/>
                    <w:rPr>
                      <w:b/>
                    </w:rPr>
                  </w:pPr>
                  <w:r w:rsidRPr="006878FA">
                    <w:rPr>
                      <w:b/>
                    </w:rPr>
                    <w:t>4</w:t>
                  </w:r>
                </w:p>
              </w:tc>
              <w:tc>
                <w:tcPr>
                  <w:tcW w:w="6520" w:type="dxa"/>
                </w:tcPr>
                <w:p w:rsidR="00A915EA" w:rsidRPr="006878FA" w:rsidRDefault="002D3F4B" w:rsidP="00A915EA">
                  <w:r>
                    <w:t xml:space="preserve">De MKA draagt aan de betrokken ketenpartners op dat er geen reanimatie wordt opgestart (MKA is leidend in deze </w:t>
                  </w:r>
                  <w:r>
                    <w:t>beslissing)</w:t>
                  </w:r>
                </w:p>
              </w:tc>
            </w:tr>
          </w:tbl>
          <w:p w:rsidR="00493C8C" w:rsidRDefault="00493C8C" w:rsidP="006876A8"/>
          <w:p w:rsidR="002D3F4B" w:rsidRDefault="002D3F4B" w:rsidP="006876A8">
            <w:pPr>
              <w:rPr>
                <w:b/>
              </w:rPr>
            </w:pPr>
          </w:p>
          <w:p w:rsidR="002D3F4B" w:rsidRDefault="002D3F4B" w:rsidP="006876A8">
            <w:pPr>
              <w:rPr>
                <w:b/>
              </w:rPr>
            </w:pPr>
          </w:p>
          <w:p w:rsidR="002D3F4B" w:rsidRDefault="002D3F4B" w:rsidP="006876A8">
            <w:pPr>
              <w:rPr>
                <w:b/>
              </w:rPr>
            </w:pPr>
          </w:p>
          <w:p w:rsidR="00A915EA" w:rsidRPr="00576B96" w:rsidRDefault="002D3F4B" w:rsidP="006876A8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Stoppen reanimatie door ketenpartners</w:t>
            </w:r>
          </w:p>
          <w:tbl>
            <w:tblPr>
              <w:tblStyle w:val="PolitieStijl2"/>
              <w:tblW w:w="0" w:type="auto"/>
              <w:tblBorders>
                <w:top w:val="single" w:sz="4" w:space="0" w:color="E4E4E4"/>
                <w:bottom w:val="single" w:sz="4" w:space="0" w:color="E4E4E4"/>
              </w:tblBorders>
              <w:tblCellMar>
                <w:top w:w="57" w:type="dxa"/>
                <w:left w:w="57" w:type="dxa"/>
                <w:bottom w:w="45" w:type="dxa"/>
                <w:right w:w="57" w:type="dxa"/>
              </w:tblCellMar>
              <w:tblLook w:val="0020" w:firstRow="1" w:lastRow="0" w:firstColumn="0" w:lastColumn="0" w:noHBand="0" w:noVBand="0"/>
            </w:tblPr>
            <w:tblGrid>
              <w:gridCol w:w="680"/>
              <w:gridCol w:w="6520"/>
            </w:tblGrid>
            <w:tr w:rsidR="001B42D1" w:rsidTr="001B42D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tcW w:w="680" w:type="dxa"/>
                </w:tcPr>
                <w:p w:rsidR="00576B96" w:rsidRPr="006878FA" w:rsidRDefault="002D3F4B" w:rsidP="00576B96">
                  <w:pPr>
                    <w:jc w:val="center"/>
                    <w:rPr>
                      <w:b/>
                    </w:rPr>
                  </w:pPr>
                  <w:r w:rsidRPr="006878FA">
                    <w:rPr>
                      <w:b/>
                    </w:rPr>
                    <w:t>Stap</w:t>
                  </w:r>
                </w:p>
              </w:tc>
              <w:tc>
                <w:tcPr>
                  <w:tcW w:w="6520" w:type="dxa"/>
                </w:tcPr>
                <w:p w:rsidR="00576B96" w:rsidRPr="006878FA" w:rsidRDefault="002D3F4B" w:rsidP="00576B96">
                  <w:pPr>
                    <w:rPr>
                      <w:b/>
                    </w:rPr>
                  </w:pPr>
                  <w:r w:rsidRPr="006878FA">
                    <w:rPr>
                      <w:b/>
                    </w:rPr>
                    <w:t>Handeling</w:t>
                  </w:r>
                </w:p>
              </w:tc>
            </w:tr>
            <w:tr w:rsidR="001B42D1" w:rsidTr="001B42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7"/>
              </w:trPr>
              <w:tc>
                <w:tcPr>
                  <w:tcW w:w="680" w:type="dxa"/>
                </w:tcPr>
                <w:p w:rsidR="00576B96" w:rsidRPr="006878FA" w:rsidRDefault="002D3F4B" w:rsidP="00576B96">
                  <w:pPr>
                    <w:jc w:val="center"/>
                    <w:rPr>
                      <w:b/>
                    </w:rPr>
                  </w:pPr>
                  <w:r w:rsidRPr="006878FA">
                    <w:rPr>
                      <w:b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:rsidR="00576B96" w:rsidRPr="006878FA" w:rsidRDefault="002D3F4B" w:rsidP="00576B96">
                  <w:r>
                    <w:t>Een ketenpartner mag alleen stoppen met reanimeren indien</w:t>
                  </w:r>
                </w:p>
              </w:tc>
            </w:tr>
            <w:tr w:rsidR="001B42D1" w:rsidTr="001B42D1">
              <w:trPr>
                <w:trHeight w:val="227"/>
              </w:trPr>
              <w:tc>
                <w:tcPr>
                  <w:tcW w:w="680" w:type="dxa"/>
                </w:tcPr>
                <w:p w:rsidR="00576B96" w:rsidRPr="006878FA" w:rsidRDefault="002D3F4B" w:rsidP="00576B96">
                  <w:pPr>
                    <w:jc w:val="center"/>
                    <w:rPr>
                      <w:b/>
                    </w:rPr>
                  </w:pPr>
                  <w:r w:rsidRPr="006878FA">
                    <w:rPr>
                      <w:b/>
                    </w:rPr>
                    <w:t>2</w:t>
                  </w:r>
                </w:p>
              </w:tc>
              <w:tc>
                <w:tcPr>
                  <w:tcW w:w="6520" w:type="dxa"/>
                </w:tcPr>
                <w:p w:rsidR="00576B96" w:rsidRDefault="002D3F4B" w:rsidP="00576B96">
                  <w:pPr>
                    <w:pStyle w:val="Lijstalinea"/>
                    <w:numPr>
                      <w:ilvl w:val="0"/>
                      <w:numId w:val="2"/>
                    </w:numPr>
                  </w:pPr>
                  <w:r>
                    <w:t>Er sprake is van een onveilige situatie voor de hulpverlener</w:t>
                  </w:r>
                </w:p>
                <w:p w:rsidR="00576B96" w:rsidRDefault="002D3F4B" w:rsidP="00576B96">
                  <w:pPr>
                    <w:pStyle w:val="Lijstalinea"/>
                    <w:numPr>
                      <w:ilvl w:val="0"/>
                      <w:numId w:val="2"/>
                    </w:numPr>
                  </w:pPr>
                  <w:r>
                    <w:t xml:space="preserve">Het lichaam niet meer verenigbaar is met het leven </w:t>
                  </w:r>
                </w:p>
                <w:p w:rsidR="00576B96" w:rsidRDefault="002D3F4B" w:rsidP="00576B96">
                  <w:pPr>
                    <w:pStyle w:val="Lijstalinea"/>
                    <w:numPr>
                      <w:ilvl w:val="0"/>
                      <w:numId w:val="2"/>
                    </w:numPr>
                  </w:pPr>
                  <w:r>
                    <w:t xml:space="preserve">Er een </w:t>
                  </w:r>
                  <w:r>
                    <w:t>wettelijke negatieve wilsverklaring is</w:t>
                  </w:r>
                </w:p>
                <w:p w:rsidR="00576B96" w:rsidRPr="00576B96" w:rsidRDefault="002D3F4B" w:rsidP="00576B96">
                  <w:pPr>
                    <w:pStyle w:val="Lijstalinea"/>
                    <w:numPr>
                      <w:ilvl w:val="0"/>
                      <w:numId w:val="2"/>
                    </w:numPr>
                  </w:pPr>
                  <w:r>
                    <w:t>De MKA of ambulance eenheid hiertoe opdracht geeft</w:t>
                  </w:r>
                </w:p>
              </w:tc>
            </w:tr>
          </w:tbl>
          <w:p w:rsidR="00493C8C" w:rsidRPr="006878FA" w:rsidRDefault="00493C8C" w:rsidP="006876A8"/>
        </w:tc>
        <w:tc>
          <w:tcPr>
            <w:tcW w:w="2500" w:type="pct"/>
            <w:tcBorders>
              <w:bottom w:val="nil"/>
            </w:tcBorders>
            <w:tcMar>
              <w:left w:w="198" w:type="dxa"/>
            </w:tcMar>
          </w:tcPr>
          <w:p w:rsidR="00493C8C" w:rsidRPr="006878FA" w:rsidRDefault="002D3F4B" w:rsidP="006876A8">
            <w:pPr>
              <w:pStyle w:val="Kop1"/>
            </w:pPr>
            <w:r w:rsidRPr="006878FA">
              <w:lastRenderedPageBreak/>
              <w:t>Informatie</w:t>
            </w:r>
          </w:p>
          <w:p w:rsidR="00493C8C" w:rsidRPr="006878FA" w:rsidRDefault="00493C8C" w:rsidP="006876A8"/>
          <w:p w:rsidR="00576B96" w:rsidRDefault="00576B96" w:rsidP="00A915EA">
            <w:pPr>
              <w:rPr>
                <w:b/>
              </w:rPr>
            </w:pPr>
          </w:p>
          <w:p w:rsidR="00576B96" w:rsidRDefault="002D3F4B" w:rsidP="00A915EA">
            <w:pPr>
              <w:rPr>
                <w:b/>
              </w:rPr>
            </w:pPr>
            <w:r>
              <w:rPr>
                <w:b/>
              </w:rPr>
              <w:t>Toetsing door MKA bij afwezigheid NR-beleid</w:t>
            </w:r>
          </w:p>
          <w:p w:rsidR="00576B96" w:rsidRDefault="002D3F4B" w:rsidP="00A915EA">
            <w:r w:rsidRPr="00576B96">
              <w:t xml:space="preserve">Is het invoelbaar/begrijpelijk dat er gestopt of niet-gestart wordt. Bij iemand van 85 of een ziekte met </w:t>
            </w:r>
            <w:r w:rsidRPr="00576B96">
              <w:t xml:space="preserve">infauste prognose is het helder. Bij een 40-jarige gezond persoon bijvoorbeeld niet. Dan moet er aangevangen en doorgegaan worden. Deze afweging is aan de ambulancezorgprofessionals en kan al starten bij de MKA. Uiteindelijk is het aan de </w:t>
            </w:r>
            <w:r>
              <w:t>zorg</w:t>
            </w:r>
            <w:r w:rsidRPr="00576B96">
              <w:t>professionals</w:t>
            </w:r>
            <w:r w:rsidRPr="00576B96">
              <w:t xml:space="preserve"> </w:t>
            </w:r>
            <w:r>
              <w:t>(</w:t>
            </w:r>
            <w:r w:rsidRPr="00576B96">
              <w:t>ter plaatse</w:t>
            </w:r>
            <w:r>
              <w:t>)</w:t>
            </w:r>
            <w:r w:rsidRPr="00576B96">
              <w:t xml:space="preserve"> om de beslissing te nemen.</w:t>
            </w:r>
            <w:r>
              <w:t xml:space="preserve"> </w:t>
            </w:r>
          </w:p>
          <w:p w:rsidR="00576B96" w:rsidRPr="00576B96" w:rsidRDefault="002D3F4B" w:rsidP="00A915EA">
            <w:r>
              <w:t>Bij twijfel zal er altijd aangevangen worden met de reanimatie.</w:t>
            </w:r>
          </w:p>
          <w:p w:rsidR="00576B96" w:rsidRDefault="00576B96" w:rsidP="00A915EA">
            <w:pPr>
              <w:rPr>
                <w:b/>
              </w:rPr>
            </w:pPr>
          </w:p>
          <w:p w:rsidR="00A915EA" w:rsidRPr="00576B96" w:rsidRDefault="002D3F4B" w:rsidP="00A915EA">
            <w:pPr>
              <w:rPr>
                <w:b/>
              </w:rPr>
            </w:pPr>
            <w:r w:rsidRPr="00576B96">
              <w:rPr>
                <w:b/>
              </w:rPr>
              <w:t>Nazorg</w:t>
            </w:r>
            <w:r>
              <w:rPr>
                <w:b/>
              </w:rPr>
              <w:t xml:space="preserve"> ketenpartners</w:t>
            </w:r>
          </w:p>
          <w:p w:rsidR="00A915EA" w:rsidRDefault="002D3F4B" w:rsidP="00A915EA">
            <w:r>
              <w:t>Indien er een “niet reanimeren beleid” van toepassing is dan kan dat impactvol zijn voor de ketenpartners. Men is snel ter plaa</w:t>
            </w:r>
            <w:r>
              <w:t>tse maar mag niet starten met reanimeren. Dit kan een conflicterend gevoel geven. Attendeer de blauwe- en rode- collega’s van de meldkamer erop om hier in het nazorg traject rekening mee te houden.</w:t>
            </w:r>
          </w:p>
          <w:p w:rsidR="00576B96" w:rsidRDefault="00576B96" w:rsidP="00A915EA"/>
          <w:p w:rsidR="00576B96" w:rsidRDefault="002D3F4B" w:rsidP="00A915EA">
            <w:pPr>
              <w:rPr>
                <w:b/>
              </w:rPr>
            </w:pPr>
            <w:r>
              <w:rPr>
                <w:b/>
              </w:rPr>
              <w:t>Publieke plaats</w:t>
            </w:r>
          </w:p>
          <w:p w:rsidR="00576B96" w:rsidRDefault="002D3F4B" w:rsidP="00576B96">
            <w:r>
              <w:t>Wanneer de reanimatie plaats vindt in een</w:t>
            </w:r>
            <w:r>
              <w:t xml:space="preserve"> publieke of andere openbare plaats handel dan als volgt:</w:t>
            </w:r>
          </w:p>
          <w:p w:rsidR="00576B96" w:rsidRDefault="002D3F4B" w:rsidP="00576B96">
            <w:pPr>
              <w:pStyle w:val="Lijstalinea"/>
              <w:numPr>
                <w:ilvl w:val="0"/>
                <w:numId w:val="3"/>
              </w:numPr>
            </w:pPr>
            <w:r>
              <w:t>Laat het slachtoffer in een stabiele zijligging plaatsen</w:t>
            </w:r>
          </w:p>
          <w:p w:rsidR="00576B96" w:rsidRDefault="002D3F4B" w:rsidP="00576B96">
            <w:pPr>
              <w:pStyle w:val="Lijstalinea"/>
              <w:numPr>
                <w:ilvl w:val="0"/>
                <w:numId w:val="3"/>
              </w:numPr>
            </w:pPr>
            <w:r>
              <w:t>Laat de locatie ruim afzetten om zodoende de waarneembaarheid van het overlijden zoveel mogelijk weg te nemen</w:t>
            </w:r>
          </w:p>
          <w:p w:rsidR="00576B96" w:rsidRDefault="002D3F4B" w:rsidP="00576B96">
            <w:pPr>
              <w:pStyle w:val="Lijstalinea"/>
              <w:numPr>
                <w:ilvl w:val="0"/>
                <w:numId w:val="3"/>
              </w:numPr>
            </w:pPr>
            <w:r>
              <w:t>Laat geen laken of iets dergeli</w:t>
            </w:r>
            <w:r>
              <w:t>jks geheel over de persoon heen plaatsen</w:t>
            </w:r>
          </w:p>
          <w:p w:rsidR="00576B96" w:rsidRDefault="002D3F4B" w:rsidP="00576B96">
            <w:pPr>
              <w:pStyle w:val="Lijstalinea"/>
              <w:numPr>
                <w:ilvl w:val="0"/>
                <w:numId w:val="3"/>
              </w:numPr>
            </w:pPr>
            <w:r>
              <w:t>Laat een hulpverlener bij het slachtoffer blijven</w:t>
            </w:r>
          </w:p>
          <w:p w:rsidR="00576B96" w:rsidRPr="00576B96" w:rsidRDefault="002D3F4B" w:rsidP="00576B96">
            <w:pPr>
              <w:pStyle w:val="Lijstalinea"/>
              <w:numPr>
                <w:ilvl w:val="0"/>
                <w:numId w:val="3"/>
              </w:numPr>
            </w:pPr>
            <w:r>
              <w:t>Laat de hulpverleners ter plaatse de zorg overdragen aan de ambulancebemanning onder vermelding van het aantreffen van een “niet reanimeren beleid”</w:t>
            </w:r>
          </w:p>
          <w:p w:rsidR="00493C8C" w:rsidRPr="006878FA" w:rsidRDefault="002D3F4B" w:rsidP="006876A8">
            <w:pPr>
              <w:pStyle w:val="Kop2"/>
            </w:pPr>
            <w:r>
              <w:t>Wettelijke verteg</w:t>
            </w:r>
            <w:r>
              <w:t>enwoordiger</w:t>
            </w:r>
          </w:p>
          <w:p w:rsidR="00576B96" w:rsidRPr="00576B96" w:rsidRDefault="002D3F4B" w:rsidP="00576B96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textAlignment w:val="baseline"/>
              <w:rPr>
                <w:color w:val="202020"/>
                <w:lang w:bidi="ar-SA"/>
              </w:rPr>
            </w:pPr>
            <w:r w:rsidRPr="00576B96">
              <w:rPr>
                <w:color w:val="202020"/>
                <w:lang w:bidi="ar-SA"/>
              </w:rPr>
              <w:t>een curator of mentor (door de rechter benoemd);</w:t>
            </w:r>
          </w:p>
          <w:p w:rsidR="00576B96" w:rsidRPr="00576B96" w:rsidRDefault="002D3F4B" w:rsidP="00576B96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textAlignment w:val="baseline"/>
              <w:rPr>
                <w:color w:val="202020"/>
                <w:lang w:bidi="ar-SA"/>
              </w:rPr>
            </w:pPr>
            <w:r w:rsidRPr="00576B96">
              <w:rPr>
                <w:color w:val="202020"/>
                <w:lang w:bidi="ar-SA"/>
              </w:rPr>
              <w:t>een schriftelijk gemachtigde door de patiënt;</w:t>
            </w:r>
          </w:p>
          <w:p w:rsidR="00576B96" w:rsidRPr="00576B96" w:rsidRDefault="002D3F4B" w:rsidP="00576B96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textAlignment w:val="baseline"/>
              <w:rPr>
                <w:color w:val="202020"/>
                <w:lang w:bidi="ar-SA"/>
              </w:rPr>
            </w:pPr>
            <w:r w:rsidRPr="00576B96">
              <w:rPr>
                <w:color w:val="202020"/>
                <w:lang w:bidi="ar-SA"/>
              </w:rPr>
              <w:t>een echtgenoot, geregistreerd partner of andere levensgezel;</w:t>
            </w:r>
          </w:p>
          <w:p w:rsidR="00576B96" w:rsidRPr="00576B96" w:rsidRDefault="002D3F4B" w:rsidP="00576B96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textAlignment w:val="baseline"/>
              <w:rPr>
                <w:color w:val="202020"/>
                <w:lang w:bidi="ar-SA"/>
              </w:rPr>
            </w:pPr>
            <w:r w:rsidRPr="00576B96">
              <w:rPr>
                <w:color w:val="202020"/>
                <w:lang w:bidi="ar-SA"/>
              </w:rPr>
              <w:t>een ouder, kind, broer, zus, grootouder of kleinkind van de patiënt.</w:t>
            </w:r>
          </w:p>
          <w:p w:rsidR="00493C8C" w:rsidRPr="006878FA" w:rsidRDefault="00493C8C" w:rsidP="00576B96">
            <w:pPr>
              <w:pStyle w:val="Lijstalinea"/>
            </w:pPr>
          </w:p>
          <w:p w:rsidR="00493C8C" w:rsidRPr="006878FA" w:rsidRDefault="00493C8C" w:rsidP="00576B96">
            <w:pPr>
              <w:pStyle w:val="Kop2"/>
            </w:pPr>
          </w:p>
        </w:tc>
      </w:tr>
      <w:tr w:rsidR="001B42D1" w:rsidTr="00493C8C">
        <w:tc>
          <w:tcPr>
            <w:tcW w:w="2500" w:type="pct"/>
            <w:tcBorders>
              <w:top w:val="nil"/>
              <w:bottom w:val="single" w:sz="4" w:space="0" w:color="004380"/>
              <w:right w:val="nil"/>
            </w:tcBorders>
          </w:tcPr>
          <w:p w:rsidR="00493C8C" w:rsidRPr="006878FA" w:rsidRDefault="00493C8C" w:rsidP="006876A8"/>
        </w:tc>
        <w:tc>
          <w:tcPr>
            <w:tcW w:w="2500" w:type="pct"/>
            <w:tcBorders>
              <w:top w:val="nil"/>
              <w:left w:val="nil"/>
              <w:bottom w:val="single" w:sz="4" w:space="0" w:color="004380"/>
            </w:tcBorders>
            <w:tcMar>
              <w:left w:w="198" w:type="dxa"/>
            </w:tcMar>
          </w:tcPr>
          <w:p w:rsidR="00493C8C" w:rsidRPr="006878FA" w:rsidRDefault="00493C8C" w:rsidP="006876A8"/>
        </w:tc>
      </w:tr>
    </w:tbl>
    <w:p w:rsidR="00493C8C" w:rsidRPr="006878FA" w:rsidRDefault="00493C8C" w:rsidP="00493C8C">
      <w:pPr>
        <w:rPr>
          <w:rFonts w:cs="Arial"/>
        </w:rPr>
      </w:pPr>
    </w:p>
    <w:sectPr w:rsidR="00493C8C" w:rsidRPr="006878FA" w:rsidSect="00B24E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282" w:right="706" w:bottom="706" w:left="706" w:header="288" w:footer="2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3F4B">
      <w:r>
        <w:separator/>
      </w:r>
    </w:p>
  </w:endnote>
  <w:endnote w:type="continuationSeparator" w:id="0">
    <w:p w:rsidR="00000000" w:rsidRDefault="002D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6A" w:rsidRDefault="00B24E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5451" w:type="dxa"/>
      <w:tblInd w:w="108" w:type="dxa"/>
      <w:tblBorders>
        <w:top w:val="single" w:sz="4" w:space="0" w:color="0043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11732"/>
      <w:gridCol w:w="3719"/>
    </w:tblGrid>
    <w:tr w:rsidR="001B42D1" w:rsidTr="00263665">
      <w:tc>
        <w:tcPr>
          <w:tcW w:w="10740" w:type="dxa"/>
        </w:tcPr>
        <w:p w:rsidR="005A2A88" w:rsidRPr="00D629C9" w:rsidRDefault="002D3F4B" w:rsidP="005A2A88">
          <w:pPr>
            <w:pStyle w:val="Voettekst"/>
            <w:rPr>
              <w:color w:val="004380"/>
              <w:lang w:val="nl-NL"/>
            </w:rPr>
          </w:pPr>
          <w:r w:rsidRPr="00D629C9">
            <w:rPr>
              <w:b/>
              <w:color w:val="004380"/>
              <w:lang w:val="nl-NL"/>
            </w:rPr>
            <w:t>Dit is een onbeheerde kopie. Alleen geldig op datum van printen</w:t>
          </w:r>
          <w:r w:rsidR="00D23508" w:rsidRPr="00D629C9">
            <w:rPr>
              <w:b/>
              <w:color w:val="004380"/>
              <w:lang w:val="nl-NL"/>
            </w:rPr>
            <w:t xml:space="preserve"> (</w:t>
          </w:r>
          <w:r w:rsidR="00D23508" w:rsidRPr="00D629C9">
            <w:rPr>
              <w:b/>
              <w:color w:val="004380"/>
              <w:lang w:val="nl-NL"/>
            </w:rPr>
            <w:fldChar w:fldCharType="begin"/>
          </w:r>
          <w:r w:rsidR="00D23508" w:rsidRPr="00D629C9">
            <w:rPr>
              <w:b/>
              <w:color w:val="004380"/>
              <w:lang w:val="nl-NL"/>
            </w:rPr>
            <w:instrText xml:space="preserve"> TIME \@ "d-M-yyyy" </w:instrText>
          </w:r>
          <w:r w:rsidR="00D23508" w:rsidRPr="00D629C9">
            <w:rPr>
              <w:b/>
              <w:color w:val="004380"/>
              <w:lang w:val="nl-NL"/>
            </w:rPr>
            <w:fldChar w:fldCharType="separate"/>
          </w:r>
          <w:r>
            <w:rPr>
              <w:b/>
              <w:noProof/>
              <w:color w:val="004380"/>
              <w:lang w:val="nl-NL"/>
            </w:rPr>
            <w:t>16-5-2024</w:t>
          </w:r>
          <w:r w:rsidR="00D23508" w:rsidRPr="00D629C9">
            <w:rPr>
              <w:b/>
              <w:color w:val="004380"/>
              <w:lang w:val="nl-NL"/>
            </w:rPr>
            <w:fldChar w:fldCharType="end"/>
          </w:r>
          <w:r w:rsidR="00D23508" w:rsidRPr="00D629C9">
            <w:rPr>
              <w:b/>
              <w:color w:val="004380"/>
              <w:lang w:val="nl-NL"/>
            </w:rPr>
            <w:t>)</w:t>
          </w:r>
          <w:r w:rsidRPr="00D629C9">
            <w:rPr>
              <w:b/>
              <w:color w:val="004380"/>
              <w:lang w:val="nl-NL"/>
            </w:rPr>
            <w:t>.</w:t>
          </w:r>
        </w:p>
      </w:tc>
      <w:tc>
        <w:tcPr>
          <w:tcW w:w="3404" w:type="dxa"/>
        </w:tcPr>
        <w:p w:rsidR="005A2A88" w:rsidRPr="00D629C9" w:rsidRDefault="002D3F4B" w:rsidP="005A2A88">
          <w:pPr>
            <w:pStyle w:val="Voettekst"/>
            <w:jc w:val="right"/>
            <w:rPr>
              <w:color w:val="004380"/>
              <w:sz w:val="18"/>
              <w:szCs w:val="18"/>
            </w:rPr>
          </w:pPr>
          <w:r w:rsidRPr="00D629C9">
            <w:rPr>
              <w:color w:val="004380"/>
              <w:sz w:val="18"/>
              <w:szCs w:val="18"/>
              <w:lang w:val="nl-NL"/>
            </w:rPr>
            <w:t xml:space="preserve">Pagina </w:t>
          </w:r>
          <w:r w:rsidRPr="00D629C9">
            <w:rPr>
              <w:b/>
              <w:color w:val="004380"/>
              <w:sz w:val="18"/>
              <w:szCs w:val="18"/>
            </w:rPr>
            <w:fldChar w:fldCharType="begin"/>
          </w:r>
          <w:r w:rsidRPr="00D629C9">
            <w:rPr>
              <w:b/>
              <w:color w:val="004380"/>
              <w:sz w:val="18"/>
              <w:szCs w:val="18"/>
            </w:rPr>
            <w:instrText>PAGE  \* Arabic  \* MERGEFORMAT</w:instrText>
          </w:r>
          <w:r w:rsidRPr="00D629C9">
            <w:rPr>
              <w:b/>
              <w:color w:val="004380"/>
              <w:sz w:val="18"/>
              <w:szCs w:val="18"/>
            </w:rPr>
            <w:fldChar w:fldCharType="separate"/>
          </w:r>
          <w:r w:rsidRPr="002D3F4B">
            <w:rPr>
              <w:b/>
              <w:noProof/>
              <w:color w:val="004380"/>
              <w:sz w:val="18"/>
              <w:szCs w:val="18"/>
              <w:lang w:val="nl-NL"/>
            </w:rPr>
            <w:t>1</w:t>
          </w:r>
          <w:r w:rsidRPr="00D629C9">
            <w:rPr>
              <w:b/>
              <w:color w:val="004380"/>
              <w:sz w:val="18"/>
              <w:szCs w:val="18"/>
            </w:rPr>
            <w:fldChar w:fldCharType="end"/>
          </w:r>
          <w:r w:rsidRPr="00D629C9">
            <w:rPr>
              <w:color w:val="004380"/>
              <w:sz w:val="18"/>
              <w:szCs w:val="18"/>
              <w:lang w:val="nl-NL"/>
            </w:rPr>
            <w:t xml:space="preserve"> van </w:t>
          </w:r>
          <w:r w:rsidRPr="00D629C9">
            <w:rPr>
              <w:b/>
              <w:color w:val="004380"/>
              <w:sz w:val="18"/>
              <w:szCs w:val="18"/>
            </w:rPr>
            <w:fldChar w:fldCharType="begin"/>
          </w:r>
          <w:r w:rsidRPr="00D629C9">
            <w:rPr>
              <w:b/>
              <w:color w:val="004380"/>
              <w:sz w:val="18"/>
              <w:szCs w:val="18"/>
            </w:rPr>
            <w:instrText xml:space="preserve">NUMPAGES  \* Arabic  \* </w:instrText>
          </w:r>
          <w:r w:rsidRPr="00D629C9">
            <w:rPr>
              <w:b/>
              <w:color w:val="004380"/>
              <w:sz w:val="18"/>
              <w:szCs w:val="18"/>
            </w:rPr>
            <w:instrText>MERGEFORMAT</w:instrText>
          </w:r>
          <w:r w:rsidRPr="00D629C9">
            <w:rPr>
              <w:b/>
              <w:color w:val="004380"/>
              <w:sz w:val="18"/>
              <w:szCs w:val="18"/>
            </w:rPr>
            <w:fldChar w:fldCharType="separate"/>
          </w:r>
          <w:r w:rsidRPr="002D3F4B">
            <w:rPr>
              <w:b/>
              <w:noProof/>
              <w:color w:val="004380"/>
              <w:sz w:val="18"/>
              <w:szCs w:val="18"/>
              <w:lang w:val="nl-NL"/>
            </w:rPr>
            <w:t>2</w:t>
          </w:r>
          <w:r w:rsidRPr="00D629C9">
            <w:rPr>
              <w:b/>
              <w:color w:val="004380"/>
              <w:sz w:val="18"/>
              <w:szCs w:val="18"/>
            </w:rPr>
            <w:fldChar w:fldCharType="end"/>
          </w:r>
        </w:p>
      </w:tc>
    </w:tr>
  </w:tbl>
  <w:p w:rsidR="005A2A88" w:rsidRPr="00D629C9" w:rsidRDefault="005A2A88" w:rsidP="005A2A88">
    <w:pPr>
      <w:pStyle w:val="Voettekst"/>
      <w:rPr>
        <w:color w:val="0043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6A" w:rsidRDefault="00B24E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3F4B">
      <w:r>
        <w:separator/>
      </w:r>
    </w:p>
  </w:footnote>
  <w:footnote w:type="continuationSeparator" w:id="0">
    <w:p w:rsidR="00000000" w:rsidRDefault="002D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6A" w:rsidRDefault="00B24E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5509" w:type="dxa"/>
      <w:tblInd w:w="108" w:type="dxa"/>
      <w:tblBorders>
        <w:top w:val="none" w:sz="0" w:space="0" w:color="auto"/>
        <w:left w:val="none" w:sz="0" w:space="0" w:color="auto"/>
        <w:bottom w:val="single" w:sz="4" w:space="0" w:color="0043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45"/>
      <w:gridCol w:w="5045"/>
      <w:gridCol w:w="2953"/>
      <w:gridCol w:w="2466"/>
    </w:tblGrid>
    <w:tr w:rsidR="001B42D1" w:rsidTr="005C06B3">
      <w:trPr>
        <w:trHeight w:val="228"/>
      </w:trPr>
      <w:tc>
        <w:tcPr>
          <w:tcW w:w="1626" w:type="pct"/>
          <w:vMerge w:val="restart"/>
          <w:shd w:val="clear" w:color="auto" w:fill="auto"/>
          <w:vAlign w:val="center"/>
        </w:tcPr>
        <w:p w:rsidR="00A630ED" w:rsidRPr="00D629C9" w:rsidRDefault="002D3F4B" w:rsidP="00B24E6A">
          <w:pPr>
            <w:pStyle w:val="Koptekst"/>
            <w:rPr>
              <w:rFonts w:cs="Arial"/>
              <w:b/>
              <w:color w:val="004380"/>
              <w:sz w:val="24"/>
              <w:szCs w:val="24"/>
              <w:lang w:eastAsia="en-GB"/>
            </w:rPr>
          </w:pPr>
          <w:r>
            <w:rPr>
              <w:rFonts w:cs="Arial"/>
              <w:b/>
              <w:color w:val="004380"/>
              <w:sz w:val="24"/>
              <w:szCs w:val="24"/>
              <w:lang w:eastAsia="en-GB"/>
            </w:rPr>
            <w:t>Niet reanimeren beleid</w:t>
          </w:r>
        </w:p>
      </w:tc>
      <w:tc>
        <w:tcPr>
          <w:tcW w:w="1626" w:type="pct"/>
          <w:vMerge w:val="restart"/>
          <w:shd w:val="clear" w:color="auto" w:fill="auto"/>
          <w:vAlign w:val="center"/>
        </w:tcPr>
        <w:p w:rsidR="00A630ED" w:rsidRPr="00A630ED" w:rsidRDefault="002D3F4B" w:rsidP="00B24E6A">
          <w:pPr>
            <w:pStyle w:val="Koptekst"/>
            <w:rPr>
              <w:rFonts w:cs="Arial"/>
              <w:b/>
              <w:color w:val="004380"/>
              <w:lang w:eastAsia="en-GB"/>
            </w:rPr>
          </w:pPr>
          <w:r w:rsidRPr="00A630ED">
            <w:rPr>
              <w:rFonts w:cs="Arial"/>
              <w:b/>
              <w:color w:val="004380"/>
              <w:lang w:eastAsia="en-GB"/>
            </w:rPr>
            <w:t>+++ Departementaal vertrouwelijk +++</w:t>
          </w:r>
        </w:p>
      </w:tc>
      <w:tc>
        <w:tcPr>
          <w:tcW w:w="952" w:type="pct"/>
          <w:shd w:val="clear" w:color="auto" w:fill="auto"/>
          <w:vAlign w:val="center"/>
        </w:tcPr>
        <w:p w:rsidR="00A630ED" w:rsidRPr="00D629C9" w:rsidRDefault="002D3F4B" w:rsidP="00B24E6A">
          <w:pPr>
            <w:pStyle w:val="Koptekst"/>
            <w:jc w:val="right"/>
            <w:rPr>
              <w:rFonts w:cs="Arial"/>
              <w:b/>
              <w:color w:val="004380"/>
              <w:sz w:val="18"/>
              <w:szCs w:val="18"/>
              <w:lang w:eastAsia="en-GB"/>
            </w:rPr>
          </w:pPr>
          <w:r>
            <w:rPr>
              <w:rFonts w:cs="Arial"/>
              <w:b/>
              <w:color w:val="004380"/>
              <w:sz w:val="18"/>
              <w:szCs w:val="18"/>
              <w:lang w:eastAsia="en-GB"/>
            </w:rPr>
            <w:t>Ambulancezorg</w:t>
          </w:r>
          <w:r w:rsidRPr="00D629C9">
            <w:rPr>
              <w:rFonts w:cs="Arial"/>
              <w:b/>
              <w:color w:val="004380"/>
              <w:sz w:val="18"/>
              <w:szCs w:val="18"/>
              <w:lang w:eastAsia="en-GB"/>
            </w:rPr>
            <w:t xml:space="preserve"> </w:t>
          </w:r>
        </w:p>
      </w:tc>
      <w:tc>
        <w:tcPr>
          <w:tcW w:w="795" w:type="pct"/>
          <w:shd w:val="clear" w:color="auto" w:fill="auto"/>
          <w:vAlign w:val="center"/>
        </w:tcPr>
        <w:p w:rsidR="00A630ED" w:rsidRPr="00D629C9" w:rsidRDefault="002D3F4B" w:rsidP="00B24E6A">
          <w:pPr>
            <w:pStyle w:val="Koptekst"/>
            <w:rPr>
              <w:rFonts w:cs="Arial"/>
              <w:color w:val="004380"/>
              <w:sz w:val="18"/>
              <w:szCs w:val="18"/>
              <w:lang w:eastAsia="en-GB"/>
            </w:rPr>
          </w:pPr>
          <w:r>
            <w:rPr>
              <w:rFonts w:cs="Arial"/>
              <w:color w:val="004380"/>
              <w:sz w:val="18"/>
              <w:szCs w:val="18"/>
              <w:lang w:eastAsia="en-GB"/>
            </w:rPr>
            <w:t>Werkinstructie</w:t>
          </w:r>
        </w:p>
      </w:tc>
    </w:tr>
    <w:tr w:rsidR="001B42D1" w:rsidTr="005C06B3">
      <w:trPr>
        <w:trHeight w:val="484"/>
      </w:trPr>
      <w:tc>
        <w:tcPr>
          <w:tcW w:w="1626" w:type="pct"/>
          <w:vMerge/>
          <w:shd w:val="clear" w:color="auto" w:fill="auto"/>
          <w:vAlign w:val="center"/>
        </w:tcPr>
        <w:p w:rsidR="00A630ED" w:rsidRPr="00D629C9" w:rsidRDefault="00A630ED" w:rsidP="00B24E6A">
          <w:pPr>
            <w:pStyle w:val="Koptekst"/>
            <w:rPr>
              <w:rFonts w:cs="Arial"/>
              <w:color w:val="004380"/>
              <w:lang w:eastAsia="en-GB"/>
            </w:rPr>
          </w:pPr>
        </w:p>
      </w:tc>
      <w:tc>
        <w:tcPr>
          <w:tcW w:w="1626" w:type="pct"/>
          <w:vMerge/>
          <w:shd w:val="clear" w:color="auto" w:fill="auto"/>
          <w:vAlign w:val="center"/>
        </w:tcPr>
        <w:p w:rsidR="00A630ED" w:rsidRPr="00D629C9" w:rsidRDefault="00A630ED" w:rsidP="00B24E6A">
          <w:pPr>
            <w:pStyle w:val="Koptekst"/>
            <w:rPr>
              <w:rFonts w:cs="Arial"/>
              <w:color w:val="004380"/>
              <w:lang w:eastAsia="en-GB"/>
            </w:rPr>
          </w:pPr>
        </w:p>
      </w:tc>
      <w:tc>
        <w:tcPr>
          <w:tcW w:w="952" w:type="pct"/>
          <w:shd w:val="clear" w:color="auto" w:fill="auto"/>
          <w:vAlign w:val="center"/>
        </w:tcPr>
        <w:p w:rsidR="00A630ED" w:rsidRPr="00D629C9" w:rsidRDefault="002D3F4B" w:rsidP="00B24E6A">
          <w:pPr>
            <w:pStyle w:val="Koptekst"/>
            <w:jc w:val="right"/>
            <w:rPr>
              <w:rFonts w:cs="Arial"/>
              <w:b/>
              <w:color w:val="004380"/>
              <w:sz w:val="18"/>
              <w:szCs w:val="18"/>
              <w:lang w:eastAsia="en-GB"/>
            </w:rPr>
          </w:pPr>
          <w:r w:rsidRPr="00D629C9">
            <w:rPr>
              <w:rFonts w:cs="Arial"/>
              <w:b/>
              <w:color w:val="004380"/>
              <w:sz w:val="18"/>
              <w:szCs w:val="18"/>
              <w:lang w:eastAsia="en-GB"/>
            </w:rPr>
            <w:t>Document</w:t>
          </w:r>
        </w:p>
      </w:tc>
      <w:tc>
        <w:tcPr>
          <w:tcW w:w="795" w:type="pct"/>
          <w:shd w:val="clear" w:color="auto" w:fill="auto"/>
          <w:vAlign w:val="center"/>
        </w:tcPr>
        <w:p w:rsidR="00A630ED" w:rsidRPr="00A630ED" w:rsidRDefault="002D3F4B" w:rsidP="00D23508">
          <w:pPr>
            <w:pStyle w:val="Koptekst"/>
            <w:rPr>
              <w:rFonts w:cs="Arial"/>
              <w:color w:val="004380"/>
              <w:sz w:val="18"/>
              <w:szCs w:val="18"/>
              <w:lang w:val="fr-FR" w:eastAsia="en-GB"/>
            </w:rPr>
          </w:pPr>
          <w:r w:rsidRPr="00A630ED">
            <w:rPr>
              <w:rFonts w:cs="Arial"/>
              <w:color w:val="004380"/>
              <w:sz w:val="18"/>
              <w:szCs w:val="18"/>
              <w:lang w:val="fr-FR" w:eastAsia="en-GB"/>
            </w:rPr>
            <w:t>NHA.02.03.071- 001 | 11-03-2024</w:t>
          </w:r>
        </w:p>
      </w:tc>
    </w:tr>
    <w:tr w:rsidR="001B42D1" w:rsidTr="005C06B3">
      <w:trPr>
        <w:trHeight w:val="80"/>
      </w:trPr>
      <w:tc>
        <w:tcPr>
          <w:tcW w:w="1626" w:type="pct"/>
          <w:vMerge/>
          <w:shd w:val="clear" w:color="auto" w:fill="auto"/>
          <w:vAlign w:val="center"/>
        </w:tcPr>
        <w:p w:rsidR="00A630ED" w:rsidRPr="00A630ED" w:rsidRDefault="00A630ED" w:rsidP="00B24E6A">
          <w:pPr>
            <w:pStyle w:val="Koptekst"/>
            <w:rPr>
              <w:rFonts w:cs="Arial"/>
              <w:color w:val="004380"/>
              <w:lang w:val="fr-FR" w:eastAsia="en-GB"/>
            </w:rPr>
          </w:pPr>
        </w:p>
      </w:tc>
      <w:tc>
        <w:tcPr>
          <w:tcW w:w="1626" w:type="pct"/>
          <w:vMerge/>
          <w:shd w:val="clear" w:color="auto" w:fill="auto"/>
          <w:vAlign w:val="center"/>
        </w:tcPr>
        <w:p w:rsidR="00A630ED" w:rsidRPr="00A630ED" w:rsidRDefault="00A630ED" w:rsidP="00B24E6A">
          <w:pPr>
            <w:pStyle w:val="Koptekst"/>
            <w:rPr>
              <w:rFonts w:cs="Arial"/>
              <w:color w:val="004380"/>
              <w:lang w:val="fr-FR" w:eastAsia="en-GB"/>
            </w:rPr>
          </w:pPr>
        </w:p>
      </w:tc>
      <w:tc>
        <w:tcPr>
          <w:tcW w:w="952" w:type="pct"/>
          <w:shd w:val="clear" w:color="auto" w:fill="auto"/>
          <w:vAlign w:val="center"/>
        </w:tcPr>
        <w:p w:rsidR="00A630ED" w:rsidRPr="00D629C9" w:rsidRDefault="002D3F4B" w:rsidP="005C06B3">
          <w:pPr>
            <w:pStyle w:val="Koptekst"/>
            <w:jc w:val="center"/>
            <w:rPr>
              <w:rFonts w:cs="Arial"/>
              <w:b/>
              <w:color w:val="004380"/>
              <w:sz w:val="18"/>
              <w:szCs w:val="18"/>
              <w:lang w:eastAsia="en-GB"/>
            </w:rPr>
          </w:pPr>
          <w:r w:rsidRPr="00C50706">
            <w:rPr>
              <w:rFonts w:cs="Arial"/>
              <w:b/>
              <w:color w:val="004380"/>
              <w:sz w:val="18"/>
              <w:szCs w:val="18"/>
              <w:lang w:val="fr-FR" w:eastAsia="en-GB"/>
            </w:rPr>
            <w:t xml:space="preserve">                                  </w:t>
          </w:r>
          <w:r w:rsidR="00C50706">
            <w:rPr>
              <w:rFonts w:cs="Arial"/>
              <w:b/>
              <w:color w:val="004380"/>
              <w:sz w:val="18"/>
              <w:szCs w:val="18"/>
              <w:lang w:val="fr-FR" w:eastAsia="en-GB"/>
            </w:rPr>
            <w:t xml:space="preserve"> </w:t>
          </w:r>
          <w:r w:rsidRPr="00D629C9">
            <w:rPr>
              <w:rFonts w:cs="Arial"/>
              <w:b/>
              <w:color w:val="004380"/>
              <w:sz w:val="18"/>
              <w:szCs w:val="18"/>
              <w:lang w:eastAsia="en-GB"/>
            </w:rPr>
            <w:t>Autorisator</w:t>
          </w:r>
        </w:p>
      </w:tc>
      <w:tc>
        <w:tcPr>
          <w:tcW w:w="795" w:type="pct"/>
          <w:shd w:val="clear" w:color="auto" w:fill="auto"/>
          <w:vAlign w:val="center"/>
        </w:tcPr>
        <w:p w:rsidR="005C06B3" w:rsidRPr="00D629C9" w:rsidRDefault="002D3F4B" w:rsidP="00D23508">
          <w:pPr>
            <w:pStyle w:val="Koptekst"/>
            <w:rPr>
              <w:rFonts w:cs="Arial"/>
              <w:color w:val="004380"/>
              <w:sz w:val="18"/>
              <w:szCs w:val="18"/>
              <w:lang w:eastAsia="en-GB"/>
            </w:rPr>
          </w:pPr>
          <w:r>
            <w:rPr>
              <w:rFonts w:cs="Arial"/>
              <w:color w:val="004380"/>
              <w:sz w:val="18"/>
              <w:szCs w:val="18"/>
              <w:lang w:eastAsia="en-GB"/>
            </w:rPr>
            <w:t>Abelman, Jasper (J.)</w:t>
          </w:r>
        </w:p>
      </w:tc>
    </w:tr>
    <w:tr w:rsidR="001B42D1" w:rsidTr="005C06B3">
      <w:trPr>
        <w:trHeight w:val="80"/>
      </w:trPr>
      <w:tc>
        <w:tcPr>
          <w:tcW w:w="1626" w:type="pct"/>
          <w:shd w:val="clear" w:color="auto" w:fill="auto"/>
          <w:vAlign w:val="center"/>
        </w:tcPr>
        <w:p w:rsidR="005C06B3" w:rsidRPr="00A630ED" w:rsidRDefault="005C06B3" w:rsidP="00B24E6A">
          <w:pPr>
            <w:pStyle w:val="Koptekst"/>
            <w:rPr>
              <w:rFonts w:cs="Arial"/>
              <w:color w:val="004380"/>
              <w:lang w:val="fr-FR" w:eastAsia="en-GB"/>
            </w:rPr>
          </w:pPr>
        </w:p>
      </w:tc>
      <w:tc>
        <w:tcPr>
          <w:tcW w:w="1626" w:type="pct"/>
          <w:shd w:val="clear" w:color="auto" w:fill="auto"/>
          <w:vAlign w:val="center"/>
        </w:tcPr>
        <w:p w:rsidR="005C06B3" w:rsidRPr="00A630ED" w:rsidRDefault="005C06B3" w:rsidP="00B24E6A">
          <w:pPr>
            <w:pStyle w:val="Koptekst"/>
            <w:rPr>
              <w:rFonts w:cs="Arial"/>
              <w:color w:val="004380"/>
              <w:lang w:val="fr-FR" w:eastAsia="en-GB"/>
            </w:rPr>
          </w:pPr>
        </w:p>
      </w:tc>
      <w:tc>
        <w:tcPr>
          <w:tcW w:w="952" w:type="pct"/>
          <w:shd w:val="clear" w:color="auto" w:fill="auto"/>
          <w:vAlign w:val="center"/>
        </w:tcPr>
        <w:p w:rsidR="005C06B3" w:rsidRDefault="002D3F4B" w:rsidP="005C06B3">
          <w:pPr>
            <w:pStyle w:val="Koptekst"/>
            <w:jc w:val="center"/>
            <w:rPr>
              <w:rFonts w:cs="Arial"/>
              <w:b/>
              <w:color w:val="004380"/>
              <w:sz w:val="18"/>
              <w:szCs w:val="18"/>
              <w:lang w:eastAsia="en-GB"/>
            </w:rPr>
          </w:pPr>
          <w:r>
            <w:rPr>
              <w:rFonts w:cs="Arial"/>
              <w:b/>
              <w:color w:val="004380"/>
              <w:sz w:val="18"/>
              <w:szCs w:val="18"/>
              <w:lang w:eastAsia="en-GB"/>
            </w:rPr>
            <w:t xml:space="preserve">                  </w:t>
          </w:r>
          <w:r w:rsidR="00C50706">
            <w:rPr>
              <w:rFonts w:cs="Arial"/>
              <w:b/>
              <w:color w:val="004380"/>
              <w:sz w:val="18"/>
              <w:szCs w:val="18"/>
              <w:lang w:eastAsia="en-GB"/>
            </w:rPr>
            <w:t xml:space="preserve">  </w:t>
          </w:r>
          <w:r>
            <w:rPr>
              <w:rFonts w:cs="Arial"/>
              <w:b/>
              <w:color w:val="004380"/>
              <w:sz w:val="18"/>
              <w:szCs w:val="18"/>
              <w:lang w:eastAsia="en-GB"/>
            </w:rPr>
            <w:t xml:space="preserve"> Document eigenaar</w:t>
          </w:r>
        </w:p>
      </w:tc>
      <w:tc>
        <w:tcPr>
          <w:tcW w:w="795" w:type="pct"/>
          <w:shd w:val="clear" w:color="auto" w:fill="auto"/>
          <w:vAlign w:val="center"/>
        </w:tcPr>
        <w:p w:rsidR="005C06B3" w:rsidRDefault="002D3F4B" w:rsidP="00D23508">
          <w:pPr>
            <w:pStyle w:val="Koptekst"/>
            <w:rPr>
              <w:rFonts w:cs="Arial"/>
              <w:color w:val="004380"/>
              <w:sz w:val="18"/>
              <w:szCs w:val="18"/>
              <w:lang w:eastAsia="en-GB"/>
            </w:rPr>
          </w:pPr>
          <w:r>
            <w:rPr>
              <w:rFonts w:cs="Arial"/>
              <w:color w:val="004380"/>
              <w:sz w:val="18"/>
              <w:szCs w:val="18"/>
              <w:lang w:eastAsia="en-GB"/>
            </w:rPr>
            <w:t>-</w:t>
          </w:r>
        </w:p>
      </w:tc>
    </w:tr>
    <w:tr w:rsidR="001B42D1" w:rsidTr="005C06B3">
      <w:trPr>
        <w:trHeight w:val="80"/>
      </w:trPr>
      <w:tc>
        <w:tcPr>
          <w:tcW w:w="1626" w:type="pct"/>
          <w:shd w:val="clear" w:color="auto" w:fill="auto"/>
          <w:vAlign w:val="center"/>
        </w:tcPr>
        <w:p w:rsidR="005C06B3" w:rsidRPr="00A630ED" w:rsidRDefault="005C06B3" w:rsidP="00B24E6A">
          <w:pPr>
            <w:pStyle w:val="Koptekst"/>
            <w:rPr>
              <w:rFonts w:cs="Arial"/>
              <w:color w:val="004380"/>
              <w:lang w:val="fr-FR" w:eastAsia="en-GB"/>
            </w:rPr>
          </w:pPr>
        </w:p>
      </w:tc>
      <w:tc>
        <w:tcPr>
          <w:tcW w:w="1626" w:type="pct"/>
          <w:shd w:val="clear" w:color="auto" w:fill="auto"/>
          <w:vAlign w:val="center"/>
        </w:tcPr>
        <w:p w:rsidR="005C06B3" w:rsidRPr="00A630ED" w:rsidRDefault="005C06B3" w:rsidP="00B24E6A">
          <w:pPr>
            <w:pStyle w:val="Koptekst"/>
            <w:rPr>
              <w:rFonts w:cs="Arial"/>
              <w:color w:val="004380"/>
              <w:lang w:val="fr-FR" w:eastAsia="en-GB"/>
            </w:rPr>
          </w:pPr>
        </w:p>
      </w:tc>
      <w:tc>
        <w:tcPr>
          <w:tcW w:w="952" w:type="pct"/>
          <w:shd w:val="clear" w:color="auto" w:fill="auto"/>
          <w:vAlign w:val="center"/>
        </w:tcPr>
        <w:p w:rsidR="005C06B3" w:rsidRDefault="005C06B3" w:rsidP="005C06B3">
          <w:pPr>
            <w:pStyle w:val="Koptekst"/>
            <w:jc w:val="center"/>
            <w:rPr>
              <w:rFonts w:cs="Arial"/>
              <w:b/>
              <w:color w:val="004380"/>
              <w:sz w:val="18"/>
              <w:szCs w:val="18"/>
              <w:lang w:eastAsia="en-GB"/>
            </w:rPr>
          </w:pPr>
        </w:p>
      </w:tc>
      <w:tc>
        <w:tcPr>
          <w:tcW w:w="795" w:type="pct"/>
          <w:shd w:val="clear" w:color="auto" w:fill="auto"/>
          <w:vAlign w:val="center"/>
        </w:tcPr>
        <w:p w:rsidR="005C06B3" w:rsidRDefault="005C06B3" w:rsidP="00D23508">
          <w:pPr>
            <w:pStyle w:val="Koptekst"/>
            <w:rPr>
              <w:rFonts w:cs="Arial"/>
              <w:color w:val="004380"/>
              <w:sz w:val="18"/>
              <w:szCs w:val="18"/>
              <w:lang w:eastAsia="en-GB"/>
            </w:rPr>
          </w:pPr>
        </w:p>
      </w:tc>
    </w:tr>
  </w:tbl>
  <w:p w:rsidR="00B24E6A" w:rsidRPr="00D629C9" w:rsidRDefault="00B24E6A" w:rsidP="00B24E6A">
    <w:pPr>
      <w:pStyle w:val="Koptekst"/>
      <w:rPr>
        <w:rFonts w:cs="Arial"/>
        <w:color w:val="004380"/>
        <w:sz w:val="2"/>
        <w:szCs w:val="2"/>
        <w:lang w:eastAsia="en-GB"/>
      </w:rPr>
    </w:pPr>
  </w:p>
  <w:p w:rsidR="00AB2C15" w:rsidRPr="00D629C9" w:rsidRDefault="00AB2C15" w:rsidP="00B24E6A">
    <w:pPr>
      <w:pStyle w:val="Koptekst"/>
      <w:rPr>
        <w:color w:val="0043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6A" w:rsidRDefault="00B24E6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06D"/>
    <w:multiLevelType w:val="hybridMultilevel"/>
    <w:tmpl w:val="46C208B2"/>
    <w:lvl w:ilvl="0" w:tplc="07022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E5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89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24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44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6F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23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80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8A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790F"/>
    <w:multiLevelType w:val="hybridMultilevel"/>
    <w:tmpl w:val="2FEAA566"/>
    <w:lvl w:ilvl="0" w:tplc="5A86468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A9A8342A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AEF8D12A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7E2CA5C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32CD1D6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85B88462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8C51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75269D36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302945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ED628A6"/>
    <w:multiLevelType w:val="hybridMultilevel"/>
    <w:tmpl w:val="47424414"/>
    <w:lvl w:ilvl="0" w:tplc="49B62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E3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FED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CE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6B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E2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48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A8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C6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97"/>
    <w:rsid w:val="00051E78"/>
    <w:rsid w:val="000B49AC"/>
    <w:rsid w:val="00150E12"/>
    <w:rsid w:val="00164737"/>
    <w:rsid w:val="001B42D1"/>
    <w:rsid w:val="001D5797"/>
    <w:rsid w:val="001E2900"/>
    <w:rsid w:val="002370A1"/>
    <w:rsid w:val="00296CC0"/>
    <w:rsid w:val="002D3F4B"/>
    <w:rsid w:val="00337538"/>
    <w:rsid w:val="00413F10"/>
    <w:rsid w:val="004632F5"/>
    <w:rsid w:val="00493C8C"/>
    <w:rsid w:val="004F1DCA"/>
    <w:rsid w:val="00567204"/>
    <w:rsid w:val="00570F1A"/>
    <w:rsid w:val="00576B96"/>
    <w:rsid w:val="00594B55"/>
    <w:rsid w:val="005A2A88"/>
    <w:rsid w:val="005C06B3"/>
    <w:rsid w:val="006304FD"/>
    <w:rsid w:val="00677370"/>
    <w:rsid w:val="006846B3"/>
    <w:rsid w:val="006876A8"/>
    <w:rsid w:val="006878FA"/>
    <w:rsid w:val="00726B9A"/>
    <w:rsid w:val="00746106"/>
    <w:rsid w:val="007C74B8"/>
    <w:rsid w:val="0096194D"/>
    <w:rsid w:val="00986FFD"/>
    <w:rsid w:val="00A514CB"/>
    <w:rsid w:val="00A630ED"/>
    <w:rsid w:val="00A915EA"/>
    <w:rsid w:val="00AA6092"/>
    <w:rsid w:val="00AB2C15"/>
    <w:rsid w:val="00B24E6A"/>
    <w:rsid w:val="00BB488F"/>
    <w:rsid w:val="00BC3A33"/>
    <w:rsid w:val="00C50706"/>
    <w:rsid w:val="00D23508"/>
    <w:rsid w:val="00D629C9"/>
    <w:rsid w:val="00F402F4"/>
    <w:rsid w:val="00F4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CF1A9"/>
  <w15:docId w15:val="{6E83D45E-A38C-4A41-BEF8-704462FE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29C9"/>
    <w:pPr>
      <w:autoSpaceDE w:val="0"/>
      <w:autoSpaceDN w:val="0"/>
    </w:pPr>
    <w:rPr>
      <w:rFonts w:ascii="Arial" w:hAnsi="Arial"/>
      <w:lang w:val="en-GB" w:eastAsia="en-US" w:bidi="fa-IR"/>
    </w:rPr>
  </w:style>
  <w:style w:type="paragraph" w:styleId="Kop1">
    <w:name w:val="heading 1"/>
    <w:basedOn w:val="Standaard"/>
    <w:next w:val="Standaard"/>
    <w:link w:val="Kop1Char"/>
    <w:uiPriority w:val="9"/>
    <w:qFormat/>
    <w:rsid w:val="002370A1"/>
    <w:pPr>
      <w:keepNext/>
      <w:keepLines/>
      <w:outlineLvl w:val="0"/>
    </w:pPr>
    <w:rPr>
      <w:rFonts w:eastAsiaTheme="majorEastAsia" w:cstheme="majorBidi"/>
      <w:b/>
      <w:bCs/>
      <w:color w:val="004380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4E6A"/>
    <w:pPr>
      <w:keepNext/>
      <w:keepLines/>
      <w:spacing w:before="200"/>
      <w:outlineLvl w:val="1"/>
    </w:pPr>
    <w:rPr>
      <w:rFonts w:eastAsiaTheme="majorEastAsia" w:cstheme="majorBidi"/>
      <w:b/>
      <w:bCs/>
      <w:color w:val="2020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B2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2370A1"/>
    <w:rPr>
      <w:rFonts w:ascii="Arial" w:eastAsiaTheme="majorEastAsia" w:hAnsi="Arial" w:cstheme="majorBidi"/>
      <w:b/>
      <w:bCs/>
      <w:color w:val="004380"/>
      <w:sz w:val="24"/>
      <w:szCs w:val="28"/>
      <w:lang w:val="en-GB" w:eastAsia="en-US" w:bidi="fa-IR"/>
    </w:rPr>
  </w:style>
  <w:style w:type="character" w:customStyle="1" w:styleId="Kop2Char">
    <w:name w:val="Kop 2 Char"/>
    <w:basedOn w:val="Standaardalinea-lettertype"/>
    <w:link w:val="Kop2"/>
    <w:uiPriority w:val="9"/>
    <w:rsid w:val="00B24E6A"/>
    <w:rPr>
      <w:rFonts w:ascii="Arial" w:eastAsiaTheme="majorEastAsia" w:hAnsi="Arial" w:cstheme="majorBidi"/>
      <w:b/>
      <w:bCs/>
      <w:color w:val="202020"/>
      <w:szCs w:val="26"/>
      <w:lang w:val="en-GB" w:eastAsia="en-US" w:bidi="fa-IR"/>
    </w:rPr>
  </w:style>
  <w:style w:type="table" w:customStyle="1" w:styleId="PolitieStijl2">
    <w:name w:val="Politie Stijl 2"/>
    <w:basedOn w:val="Standaardtabel"/>
    <w:uiPriority w:val="99"/>
    <w:rsid w:val="00493C8C"/>
    <w:rPr>
      <w:rFonts w:ascii="Arial" w:hAnsi="Arial"/>
      <w:color w:val="202020"/>
      <w:lang w:eastAsia="en-US"/>
    </w:rPr>
    <w:tblPr>
      <w:tblStyleRowBandSize w:val="1"/>
    </w:tblPr>
    <w:tblStylePr w:type="firstRow">
      <w:rPr>
        <w:rFonts w:ascii="Arial" w:hAnsi="Arial" w:cs="Times New Roman"/>
        <w:color w:val="004682"/>
        <w:sz w:val="20"/>
      </w:rPr>
    </w:tblStylePr>
    <w:tblStylePr w:type="firstCol">
      <w:pPr>
        <w:jc w:val="center"/>
      </w:pPr>
      <w:rPr>
        <w:rFonts w:cs="Times New Roman"/>
      </w:rPr>
    </w:tblStylePr>
    <w:tblStylePr w:type="la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E4E4E4"/>
      </w:tcPr>
    </w:tblStylePr>
  </w:style>
  <w:style w:type="paragraph" w:styleId="Lijstalinea">
    <w:name w:val="List Paragraph"/>
    <w:basedOn w:val="Standaard"/>
    <w:uiPriority w:val="34"/>
    <w:qFormat/>
    <w:rsid w:val="00493C8C"/>
    <w:pPr>
      <w:overflowPunct w:val="0"/>
      <w:adjustRightInd w:val="0"/>
      <w:ind w:left="720"/>
      <w:contextualSpacing/>
      <w:textAlignment w:val="baseline"/>
    </w:pPr>
    <w:rPr>
      <w:color w:val="202020"/>
      <w:lang w:val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2793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QIMS Goes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Jacco van der Pol</dc:creator>
  <cp:lastModifiedBy>Jasper Abelman</cp:lastModifiedBy>
  <cp:revision>2</cp:revision>
  <dcterms:created xsi:type="dcterms:W3CDTF">2024-05-16T14:00:00Z</dcterms:created>
  <dcterms:modified xsi:type="dcterms:W3CDTF">2024-05-16T14:00:00Z</dcterms:modified>
</cp:coreProperties>
</file>